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20" w:rsidRPr="00087239" w:rsidRDefault="00787B20" w:rsidP="00787B20">
      <w:pPr>
        <w:rPr>
          <w:rFonts w:ascii="仿宋_GB2312" w:eastAsia="仿宋_GB2312"/>
          <w:b/>
          <w:sz w:val="32"/>
          <w:szCs w:val="32"/>
        </w:rPr>
      </w:pPr>
      <w:r w:rsidRPr="00087239">
        <w:rPr>
          <w:rFonts w:ascii="仿宋_GB2312" w:eastAsia="仿宋_GB2312" w:hint="eastAsia"/>
          <w:b/>
          <w:sz w:val="32"/>
          <w:szCs w:val="32"/>
        </w:rPr>
        <w:t>附表3</w:t>
      </w:r>
    </w:p>
    <w:tbl>
      <w:tblPr>
        <w:tblW w:w="14680" w:type="dxa"/>
        <w:tblInd w:w="96" w:type="dxa"/>
        <w:tblLook w:val="04A0"/>
      </w:tblPr>
      <w:tblGrid>
        <w:gridCol w:w="1005"/>
        <w:gridCol w:w="4175"/>
        <w:gridCol w:w="9500"/>
      </w:tblGrid>
      <w:tr w:rsidR="00787B20" w:rsidRPr="00087239" w:rsidTr="00915A3F">
        <w:trPr>
          <w:trHeight w:val="672"/>
        </w:trPr>
        <w:tc>
          <w:tcPr>
            <w:tcW w:w="14680" w:type="dxa"/>
            <w:gridSpan w:val="3"/>
            <w:tcBorders>
              <w:top w:val="nil"/>
              <w:left w:val="nil"/>
              <w:bottom w:val="single" w:sz="4" w:space="0" w:color="auto"/>
              <w:right w:val="nil"/>
            </w:tcBorders>
            <w:shd w:val="clear" w:color="auto" w:fill="auto"/>
            <w:noWrap/>
            <w:vAlign w:val="center"/>
            <w:hideMark/>
          </w:tcPr>
          <w:p w:rsidR="00787B20" w:rsidRPr="00087239" w:rsidRDefault="00787B20" w:rsidP="00915A3F">
            <w:pPr>
              <w:widowControl/>
              <w:jc w:val="center"/>
              <w:rPr>
                <w:rFonts w:ascii="方正小标宋_GBK" w:eastAsia="方正小标宋_GBK" w:hAnsi="宋体" w:cs="宋体"/>
                <w:color w:val="000000"/>
                <w:kern w:val="0"/>
                <w:sz w:val="52"/>
                <w:szCs w:val="52"/>
              </w:rPr>
            </w:pPr>
            <w:r w:rsidRPr="00087239">
              <w:rPr>
                <w:rFonts w:ascii="方正小标宋_GBK" w:eastAsia="方正小标宋_GBK" w:hAnsi="宋体" w:cs="宋体" w:hint="eastAsia"/>
                <w:color w:val="000000"/>
                <w:kern w:val="0"/>
                <w:sz w:val="52"/>
                <w:szCs w:val="52"/>
              </w:rPr>
              <w:t>广州市水务局行政处罚清单</w:t>
            </w:r>
          </w:p>
        </w:tc>
      </w:tr>
      <w:tr w:rsidR="00787B20" w:rsidRPr="00087239" w:rsidTr="00915A3F">
        <w:trPr>
          <w:trHeight w:val="495"/>
        </w:trPr>
        <w:tc>
          <w:tcPr>
            <w:tcW w:w="1005" w:type="dxa"/>
            <w:tcBorders>
              <w:top w:val="nil"/>
              <w:left w:val="single" w:sz="4" w:space="0" w:color="auto"/>
              <w:bottom w:val="nil"/>
              <w:right w:val="single" w:sz="4" w:space="0" w:color="auto"/>
            </w:tcBorders>
            <w:shd w:val="clear" w:color="auto" w:fill="auto"/>
            <w:vAlign w:val="center"/>
            <w:hideMark/>
          </w:tcPr>
          <w:p w:rsidR="00787B20" w:rsidRPr="00736D0D" w:rsidRDefault="00787B20" w:rsidP="00915A3F">
            <w:pPr>
              <w:widowControl/>
              <w:jc w:val="center"/>
              <w:rPr>
                <w:rFonts w:ascii="黑体" w:eastAsia="黑体" w:hAnsi="黑体" w:cs="宋体"/>
                <w:kern w:val="0"/>
                <w:sz w:val="32"/>
                <w:szCs w:val="32"/>
              </w:rPr>
            </w:pPr>
            <w:r w:rsidRPr="00736D0D">
              <w:rPr>
                <w:rFonts w:ascii="黑体" w:eastAsia="黑体" w:hAnsi="黑体" w:cs="宋体" w:hint="eastAsia"/>
                <w:kern w:val="0"/>
                <w:sz w:val="32"/>
                <w:szCs w:val="32"/>
              </w:rPr>
              <w:t>序号</w:t>
            </w:r>
          </w:p>
        </w:tc>
        <w:tc>
          <w:tcPr>
            <w:tcW w:w="4175" w:type="dxa"/>
            <w:tcBorders>
              <w:top w:val="nil"/>
              <w:left w:val="nil"/>
              <w:bottom w:val="nil"/>
              <w:right w:val="single" w:sz="4" w:space="0" w:color="auto"/>
            </w:tcBorders>
            <w:shd w:val="clear" w:color="auto" w:fill="auto"/>
            <w:noWrap/>
            <w:vAlign w:val="center"/>
            <w:hideMark/>
          </w:tcPr>
          <w:p w:rsidR="00787B20" w:rsidRPr="00736D0D" w:rsidRDefault="00787B20" w:rsidP="00915A3F">
            <w:pPr>
              <w:widowControl/>
              <w:jc w:val="center"/>
              <w:rPr>
                <w:rFonts w:ascii="黑体" w:eastAsia="黑体" w:hAnsi="黑体" w:cs="宋体"/>
                <w:kern w:val="0"/>
                <w:sz w:val="32"/>
                <w:szCs w:val="32"/>
              </w:rPr>
            </w:pPr>
            <w:r w:rsidRPr="00736D0D">
              <w:rPr>
                <w:rFonts w:ascii="黑体" w:eastAsia="黑体" w:hAnsi="黑体" w:cs="宋体" w:hint="eastAsia"/>
                <w:kern w:val="0"/>
                <w:sz w:val="32"/>
                <w:szCs w:val="32"/>
              </w:rPr>
              <w:t>事项名称</w:t>
            </w:r>
          </w:p>
        </w:tc>
        <w:tc>
          <w:tcPr>
            <w:tcW w:w="9500" w:type="dxa"/>
            <w:tcBorders>
              <w:top w:val="nil"/>
              <w:left w:val="nil"/>
              <w:bottom w:val="nil"/>
              <w:right w:val="single" w:sz="4" w:space="0" w:color="auto"/>
            </w:tcBorders>
            <w:shd w:val="clear" w:color="auto" w:fill="auto"/>
            <w:vAlign w:val="center"/>
            <w:hideMark/>
          </w:tcPr>
          <w:p w:rsidR="00787B20" w:rsidRPr="00736D0D" w:rsidRDefault="00787B20" w:rsidP="00915A3F">
            <w:pPr>
              <w:widowControl/>
              <w:jc w:val="center"/>
              <w:rPr>
                <w:rFonts w:ascii="黑体" w:eastAsia="黑体" w:hAnsi="黑体" w:cs="宋体"/>
                <w:kern w:val="0"/>
                <w:sz w:val="32"/>
                <w:szCs w:val="32"/>
              </w:rPr>
            </w:pPr>
            <w:r w:rsidRPr="00736D0D">
              <w:rPr>
                <w:rFonts w:ascii="黑体" w:eastAsia="黑体" w:hAnsi="黑体" w:cs="宋体" w:hint="eastAsia"/>
                <w:kern w:val="0"/>
                <w:sz w:val="32"/>
                <w:szCs w:val="32"/>
              </w:rPr>
              <w:t>实施依据</w:t>
            </w:r>
          </w:p>
        </w:tc>
      </w:tr>
      <w:tr w:rsidR="00787B20" w:rsidRPr="00087239" w:rsidTr="00915A3F">
        <w:trPr>
          <w:trHeight w:val="432"/>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1</w:t>
            </w:r>
          </w:p>
        </w:tc>
        <w:tc>
          <w:tcPr>
            <w:tcW w:w="4175" w:type="dxa"/>
            <w:tcBorders>
              <w:top w:val="single" w:sz="4" w:space="0" w:color="auto"/>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对到期不缴纳罚款的加处罚款</w:t>
            </w:r>
          </w:p>
        </w:tc>
        <w:tc>
          <w:tcPr>
            <w:tcW w:w="9500" w:type="dxa"/>
            <w:tcBorders>
              <w:top w:val="single" w:sz="4" w:space="0" w:color="auto"/>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1.《中华人民共和国行政处罚法》2017年修正第五十一条第（一）项（一）到期不缴纳罚款的，每日按罚款数额的百分之三加处罚款；</w:t>
            </w:r>
          </w:p>
        </w:tc>
      </w:tr>
      <w:tr w:rsidR="00787B20" w:rsidRPr="00087239" w:rsidTr="00915A3F">
        <w:trPr>
          <w:trHeight w:val="864"/>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2</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对在河道管理范围内建设妨碍行洪的建筑物、构筑物，或者从事影响河势稳定、危害河岸堤防安全和其他妨碍河道行洪的活动的，经限期拆除后逾期不拆除的强制拆除</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1.《中华人民共和国水法》2016年修订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r>
      <w:tr w:rsidR="00787B20" w:rsidRPr="00087239" w:rsidTr="00915A3F">
        <w:trPr>
          <w:trHeight w:val="432"/>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3</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对在河道、湖泊范围内设置阻碍行洪的障碍物，逾期不清除的行为实施强行清除</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1.《中华人民共和国防洪法》2016年修正第四十二条第一款对河道、湖泊范围内阻碍行洪的障碍物，按照谁设障、谁清除的原则，由防汛指挥机构责令限期清除；逾期不清除的，由防汛指挥机构组织强行清除，所需费用由设障者承担。</w:t>
            </w:r>
          </w:p>
        </w:tc>
      </w:tr>
      <w:tr w:rsidR="00787B20" w:rsidRPr="00087239" w:rsidTr="00915A3F">
        <w:trPr>
          <w:trHeight w:val="108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4</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对擅自修建的拦河、跨河、临河建筑物、构筑物和铺设的跨河管道、电缆，或者未按照审查批准的位置、界限在河道、湖泊管理范围内建设的工程设施实施强制拆除</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1.《中华人民共和国水法》2016年修订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sidRPr="00736D0D">
              <w:rPr>
                <w:rFonts w:ascii="宋体" w:hAnsi="宋体" w:cs="宋体" w:hint="eastAsia"/>
                <w:kern w:val="0"/>
                <w:szCs w:val="21"/>
              </w:rPr>
              <w:t>不</w:t>
            </w:r>
            <w:proofErr w:type="gramEnd"/>
            <w:r w:rsidRPr="00736D0D">
              <w:rPr>
                <w:rFonts w:ascii="宋体" w:hAnsi="宋体" w:cs="宋体" w:hint="eastAsia"/>
                <w:kern w:val="0"/>
                <w:szCs w:val="21"/>
              </w:rPr>
              <w:t>补办或者补办未被批准的，责令限期拆除违法建筑物、构筑物；逾期不拆除的，强行拆除，所需费用由违法单位或者个人负担，并处一万元以上十万元以下的罚款。</w:t>
            </w:r>
          </w:p>
        </w:tc>
      </w:tr>
      <w:tr w:rsidR="00787B20" w:rsidRPr="00087239" w:rsidTr="00915A3F">
        <w:trPr>
          <w:trHeight w:val="64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5</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对拒不缴纳、拖延缴纳或者拖欠水资源费经责令限期缴纳，逾期不缴纳的加收滞纳金</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1.《中华人民共和国水法》2016年修订第七十条拒不缴纳、拖延缴纳或者拖欠水资源费的，由县级以上人民政府水行政主管部门或者流域管理机构依据职权，责令限期缴纳；逾期不缴纳的，从滞纳之日起按日加收滞</w:t>
            </w:r>
            <w:proofErr w:type="gramStart"/>
            <w:r w:rsidRPr="00736D0D">
              <w:rPr>
                <w:rFonts w:ascii="宋体" w:hAnsi="宋体" w:cs="宋体" w:hint="eastAsia"/>
                <w:kern w:val="0"/>
                <w:szCs w:val="21"/>
              </w:rPr>
              <w:t>纳部分</w:t>
            </w:r>
            <w:proofErr w:type="gramEnd"/>
            <w:r w:rsidRPr="00736D0D">
              <w:rPr>
                <w:rFonts w:ascii="宋体" w:hAnsi="宋体" w:cs="宋体" w:hint="eastAsia"/>
                <w:kern w:val="0"/>
                <w:szCs w:val="21"/>
              </w:rPr>
              <w:t>千分之二的滞纳金，并处应缴或者补缴水资源费一倍以上五倍以下的罚款。</w:t>
            </w:r>
          </w:p>
        </w:tc>
      </w:tr>
      <w:tr w:rsidR="00787B20" w:rsidRPr="00087239" w:rsidTr="00915A3F">
        <w:trPr>
          <w:trHeight w:val="864"/>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lastRenderedPageBreak/>
              <w:t>6</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对违反《防洪法》围海造地、围湖造地、围垦河道的，经责令停止违法行为，恢复原状或者采取其他补救措施后既不恢复原状也不采取其他补救措施的行为代为恢复原状或者采取其他补救措施</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1.《中华人民共和国防洪法》2016年修正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r>
      <w:tr w:rsidR="00787B20" w:rsidRPr="00087239" w:rsidTr="00915A3F">
        <w:trPr>
          <w:trHeight w:val="108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7</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对被检查单位或者个人拒不停止违法行为，造成严重水土流失的行为实施查封、扣押</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中华人民共和国水土保持法》（2010年修订）第四十四条第二款水政监督检查人员依法履行监督检查职责时，有权采取下列措施：（一）要求被检查单位或者个人提供有关文件、证照、资料；（二）要求被检查单位或者个人就预防和治理水土流失的有关情况</w:t>
            </w:r>
            <w:proofErr w:type="gramStart"/>
            <w:r w:rsidRPr="00736D0D">
              <w:rPr>
                <w:rFonts w:ascii="宋体" w:hAnsi="宋体" w:cs="宋体" w:hint="eastAsia"/>
                <w:kern w:val="0"/>
                <w:szCs w:val="21"/>
              </w:rPr>
              <w:t>作出</w:t>
            </w:r>
            <w:proofErr w:type="gramEnd"/>
            <w:r w:rsidRPr="00736D0D">
              <w:rPr>
                <w:rFonts w:ascii="宋体" w:hAnsi="宋体" w:cs="宋体" w:hint="eastAsia"/>
                <w:kern w:val="0"/>
                <w:szCs w:val="21"/>
              </w:rPr>
              <w:t>说明；（三）进入现场进行调查、取证。</w:t>
            </w:r>
            <w:r w:rsidRPr="00736D0D">
              <w:rPr>
                <w:rFonts w:ascii="宋体" w:hAnsi="宋体" w:cs="宋体" w:hint="eastAsia"/>
                <w:kern w:val="0"/>
                <w:szCs w:val="21"/>
              </w:rPr>
              <w:br/>
              <w:t xml:space="preserve">　　被检查单位或者个人拒不停止违法行为，造成严重水土流失的，报经水行政主管部门批准，可以查封、扣押实施违法行为的工具及施工机械、设备等。</w:t>
            </w:r>
          </w:p>
        </w:tc>
      </w:tr>
      <w:tr w:rsidR="00787B20" w:rsidRPr="00087239" w:rsidTr="00915A3F">
        <w:trPr>
          <w:trHeight w:val="864"/>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8</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对在水土保持方案确定的专门存放地以外的区域倾倒砂、石、土、矸石、尾矿、废渣等的，由县级以上地方人民政府水行政主管部门责令停止违法行为，限期清理后，逾期仍不清理的行为代为清理</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中华人民共和国水土保持法》（2010年修订）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rsidR="00787B20" w:rsidRPr="00087239" w:rsidTr="00915A3F">
        <w:trPr>
          <w:trHeight w:val="64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9</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对开办生产建设项目或者从事其他生产建设活动造成水土流失，不进行治理的，由县级以上人民政府水行政主管部门责令限期治理后逾期仍不治理的行为代为清理</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中华人民共和国水土保持法》（2010年修订）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r>
      <w:tr w:rsidR="00787B20" w:rsidRPr="00087239" w:rsidTr="00915A3F">
        <w:trPr>
          <w:trHeight w:val="64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10</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对拒不缴纳水土保持补偿费的，经县级以上人民政府水行政主管部门责令限期缴纳后逾期仍不缴纳的行为加收滞纳金</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《中华人民共和国水土保持法》（2010年修订）第五十七条违反本法规定，拒不缴纳水土保持补偿费的，由县级以上人民政府水行政主管部门责令限期缴纳；逾期不缴纳的，</w:t>
            </w:r>
            <w:proofErr w:type="gramStart"/>
            <w:r w:rsidRPr="00736D0D">
              <w:rPr>
                <w:rFonts w:ascii="宋体" w:hAnsi="宋体" w:cs="宋体" w:hint="eastAsia"/>
                <w:kern w:val="0"/>
                <w:szCs w:val="21"/>
              </w:rPr>
              <w:t>自滞纳</w:t>
            </w:r>
            <w:proofErr w:type="gramEnd"/>
            <w:r w:rsidRPr="00736D0D">
              <w:rPr>
                <w:rFonts w:ascii="宋体" w:hAnsi="宋体" w:cs="宋体" w:hint="eastAsia"/>
                <w:kern w:val="0"/>
                <w:szCs w:val="21"/>
              </w:rPr>
              <w:t>之日起按日加收滞</w:t>
            </w:r>
            <w:proofErr w:type="gramStart"/>
            <w:r w:rsidRPr="00736D0D">
              <w:rPr>
                <w:rFonts w:ascii="宋体" w:hAnsi="宋体" w:cs="宋体" w:hint="eastAsia"/>
                <w:kern w:val="0"/>
                <w:szCs w:val="21"/>
              </w:rPr>
              <w:t>纳部分</w:t>
            </w:r>
            <w:proofErr w:type="gramEnd"/>
            <w:r w:rsidRPr="00736D0D">
              <w:rPr>
                <w:rFonts w:ascii="宋体" w:hAnsi="宋体" w:cs="宋体" w:hint="eastAsia"/>
                <w:kern w:val="0"/>
                <w:szCs w:val="21"/>
              </w:rPr>
              <w:t>万分之五的滞纳金，可以处应缴水土保持补偿费三倍以下的罚款。</w:t>
            </w:r>
          </w:p>
        </w:tc>
      </w:tr>
      <w:tr w:rsidR="00787B20" w:rsidRPr="00087239" w:rsidTr="00915A3F">
        <w:trPr>
          <w:trHeight w:val="108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lastRenderedPageBreak/>
              <w:t>11</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对未取得取水申请批准文件擅自建设取水工</w:t>
            </w:r>
            <w:proofErr w:type="gramStart"/>
            <w:r w:rsidRPr="00736D0D">
              <w:rPr>
                <w:rFonts w:ascii="宋体" w:hAnsi="宋体" w:cs="宋体" w:hint="eastAsia"/>
                <w:kern w:val="0"/>
                <w:szCs w:val="21"/>
              </w:rPr>
              <w:t>程或者</w:t>
            </w:r>
            <w:proofErr w:type="gramEnd"/>
            <w:r w:rsidRPr="00736D0D">
              <w:rPr>
                <w:rFonts w:ascii="宋体" w:hAnsi="宋体" w:cs="宋体" w:hint="eastAsia"/>
                <w:kern w:val="0"/>
                <w:szCs w:val="21"/>
              </w:rPr>
              <w:t>设施的，责令停止违法行为，限期补办有关手续；逾期</w:t>
            </w:r>
            <w:proofErr w:type="gramStart"/>
            <w:r w:rsidRPr="00736D0D">
              <w:rPr>
                <w:rFonts w:ascii="宋体" w:hAnsi="宋体" w:cs="宋体" w:hint="eastAsia"/>
                <w:kern w:val="0"/>
                <w:szCs w:val="21"/>
              </w:rPr>
              <w:t>不</w:t>
            </w:r>
            <w:proofErr w:type="gramEnd"/>
            <w:r w:rsidRPr="00736D0D">
              <w:rPr>
                <w:rFonts w:ascii="宋体" w:hAnsi="宋体" w:cs="宋体" w:hint="eastAsia"/>
                <w:kern w:val="0"/>
                <w:szCs w:val="21"/>
              </w:rPr>
              <w:t>补办或者补办未被批准的，责令限期拆除或者封闭其取水工</w:t>
            </w:r>
            <w:proofErr w:type="gramStart"/>
            <w:r w:rsidRPr="00736D0D">
              <w:rPr>
                <w:rFonts w:ascii="宋体" w:hAnsi="宋体" w:cs="宋体" w:hint="eastAsia"/>
                <w:kern w:val="0"/>
                <w:szCs w:val="21"/>
              </w:rPr>
              <w:t>程或者</w:t>
            </w:r>
            <w:proofErr w:type="gramEnd"/>
            <w:r w:rsidRPr="00736D0D">
              <w:rPr>
                <w:rFonts w:ascii="宋体" w:hAnsi="宋体" w:cs="宋体" w:hint="eastAsia"/>
                <w:kern w:val="0"/>
                <w:szCs w:val="21"/>
              </w:rPr>
              <w:t>设施；逾期不拆除或者不封闭其取水工</w:t>
            </w:r>
            <w:proofErr w:type="gramStart"/>
            <w:r w:rsidRPr="00736D0D">
              <w:rPr>
                <w:rFonts w:ascii="宋体" w:hAnsi="宋体" w:cs="宋体" w:hint="eastAsia"/>
                <w:kern w:val="0"/>
                <w:szCs w:val="21"/>
              </w:rPr>
              <w:t>程或者</w:t>
            </w:r>
            <w:proofErr w:type="gramEnd"/>
            <w:r w:rsidRPr="00736D0D">
              <w:rPr>
                <w:rFonts w:ascii="宋体" w:hAnsi="宋体" w:cs="宋体" w:hint="eastAsia"/>
                <w:kern w:val="0"/>
                <w:szCs w:val="21"/>
              </w:rPr>
              <w:t>设施的行为实施拆除或者封闭</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1.《取水许可和水资源费征收管理条例》（2017年国务院令第676号）第三条：“县级以上人民政府水行政主管部门按照分级管理权限，负责取水许可制度的组织实施和监督管理。”修订第四十九条未取得取水申请批准文件擅自建设取水工</w:t>
            </w:r>
            <w:proofErr w:type="gramStart"/>
            <w:r w:rsidRPr="00736D0D">
              <w:rPr>
                <w:rFonts w:ascii="宋体" w:hAnsi="宋体" w:cs="宋体" w:hint="eastAsia"/>
                <w:kern w:val="0"/>
                <w:szCs w:val="21"/>
              </w:rPr>
              <w:t>程或者</w:t>
            </w:r>
            <w:proofErr w:type="gramEnd"/>
            <w:r w:rsidRPr="00736D0D">
              <w:rPr>
                <w:rFonts w:ascii="宋体" w:hAnsi="宋体" w:cs="宋体" w:hint="eastAsia"/>
                <w:kern w:val="0"/>
                <w:szCs w:val="21"/>
              </w:rPr>
              <w:t>设施的，责令停止违法行为，限期补办有关手续；逾期</w:t>
            </w:r>
            <w:proofErr w:type="gramStart"/>
            <w:r w:rsidRPr="00736D0D">
              <w:rPr>
                <w:rFonts w:ascii="宋体" w:hAnsi="宋体" w:cs="宋体" w:hint="eastAsia"/>
                <w:kern w:val="0"/>
                <w:szCs w:val="21"/>
              </w:rPr>
              <w:t>不</w:t>
            </w:r>
            <w:proofErr w:type="gramEnd"/>
            <w:r w:rsidRPr="00736D0D">
              <w:rPr>
                <w:rFonts w:ascii="宋体" w:hAnsi="宋体" w:cs="宋体" w:hint="eastAsia"/>
                <w:kern w:val="0"/>
                <w:szCs w:val="21"/>
              </w:rPr>
              <w:t>补办或者补办未被批准的，责令限期拆除或者封闭其取水工</w:t>
            </w:r>
            <w:proofErr w:type="gramStart"/>
            <w:r w:rsidRPr="00736D0D">
              <w:rPr>
                <w:rFonts w:ascii="宋体" w:hAnsi="宋体" w:cs="宋体" w:hint="eastAsia"/>
                <w:kern w:val="0"/>
                <w:szCs w:val="21"/>
              </w:rPr>
              <w:t>程或者</w:t>
            </w:r>
            <w:proofErr w:type="gramEnd"/>
            <w:r w:rsidRPr="00736D0D">
              <w:rPr>
                <w:rFonts w:ascii="宋体" w:hAnsi="宋体" w:cs="宋体" w:hint="eastAsia"/>
                <w:kern w:val="0"/>
                <w:szCs w:val="21"/>
              </w:rPr>
              <w:t>设施；逾期不拆除或者不封闭其取水工</w:t>
            </w:r>
            <w:proofErr w:type="gramStart"/>
            <w:r w:rsidRPr="00736D0D">
              <w:rPr>
                <w:rFonts w:ascii="宋体" w:hAnsi="宋体" w:cs="宋体" w:hint="eastAsia"/>
                <w:kern w:val="0"/>
                <w:szCs w:val="21"/>
              </w:rPr>
              <w:t>程或者</w:t>
            </w:r>
            <w:proofErr w:type="gramEnd"/>
            <w:r w:rsidRPr="00736D0D">
              <w:rPr>
                <w:rFonts w:ascii="宋体" w:hAnsi="宋体" w:cs="宋体" w:hint="eastAsia"/>
                <w:kern w:val="0"/>
                <w:szCs w:val="21"/>
              </w:rPr>
              <w:t>设施的，由县级以上地方人民政府水行政主管部门或者流域管理机构组织拆除或者封闭，所需费用由违法行为人承担，可以处5万元以下罚款。</w:t>
            </w:r>
          </w:p>
        </w:tc>
      </w:tr>
      <w:tr w:rsidR="00787B20" w:rsidRPr="00087239" w:rsidTr="00915A3F">
        <w:trPr>
          <w:trHeight w:val="1512"/>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12</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对无河道采砂许可证采砂的作业工具实施暂扣</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广东省河道采砂管理条例》2019年修正第二十六条水行政主管部门可以委托具备水利工程建设监理相应资质的监理单位对河道采砂活动实施监督管理。监理费用达到招标数额标准的，水行政主管部门应当通过招标等公平竞争方式确定监理单位，并与监理单位订立监理合同。</w:t>
            </w:r>
            <w:r w:rsidRPr="00736D0D">
              <w:rPr>
                <w:rFonts w:ascii="宋体" w:hAnsi="宋体" w:cs="宋体" w:hint="eastAsia"/>
                <w:kern w:val="0"/>
                <w:szCs w:val="21"/>
              </w:rPr>
              <w:br/>
              <w:t xml:space="preserve">　　监理单位应当配备智能化设备，采用信息化技术，对河道采砂作业进行实时监控，并按照监理合同的约定，对采砂人的采砂范围、作业工具、开采时间、采砂数量等活动实施监督管理。监理单位的信息化监控数据应当与执法单位共享。</w:t>
            </w:r>
            <w:r w:rsidRPr="00736D0D">
              <w:rPr>
                <w:rFonts w:ascii="宋体" w:hAnsi="宋体" w:cs="宋体" w:hint="eastAsia"/>
                <w:kern w:val="0"/>
                <w:szCs w:val="21"/>
              </w:rPr>
              <w:br/>
              <w:t xml:space="preserve">　　监理单位及其监理人员不得与采砂人、运砂人串通，弄虚作假，不得损害国家利益或者社会公共利益。</w:t>
            </w:r>
          </w:p>
        </w:tc>
      </w:tr>
      <w:tr w:rsidR="00787B20" w:rsidRPr="00087239" w:rsidTr="00915A3F">
        <w:trPr>
          <w:trHeight w:val="1512"/>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13</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对不按照河道采砂许可证规定采砂或者在禁采期、禁止采砂作业的时段采砂的作业工具实施暂扣</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《广东省河道采砂管理条例》2019年修正第二十七条禁止装运非法开采的河砂。在河道管理范围内运输河砂应当持有河砂合法来源证明。</w:t>
            </w:r>
            <w:r w:rsidRPr="00736D0D">
              <w:rPr>
                <w:rFonts w:ascii="宋体" w:hAnsi="宋体" w:cs="宋体" w:hint="eastAsia"/>
                <w:kern w:val="0"/>
                <w:szCs w:val="21"/>
              </w:rPr>
              <w:br/>
              <w:t xml:space="preserve">　　在河道管理范围内运输依法开采的河砂的，水行政主管部门应当在采砂现场及时核发河砂合法来源证明，并不得收取费用。</w:t>
            </w:r>
            <w:r w:rsidRPr="00736D0D">
              <w:rPr>
                <w:rFonts w:ascii="宋体" w:hAnsi="宋体" w:cs="宋体" w:hint="eastAsia"/>
                <w:kern w:val="0"/>
                <w:szCs w:val="21"/>
              </w:rPr>
              <w:br/>
              <w:t xml:space="preserve">　　河砂合法来源证明由省人民政府水行政主管部门统一式样，包括河砂来源地、运输工具名称、装运时间、河砂数量、</w:t>
            </w:r>
            <w:proofErr w:type="gramStart"/>
            <w:r w:rsidRPr="00736D0D">
              <w:rPr>
                <w:rFonts w:ascii="宋体" w:hAnsi="宋体" w:cs="宋体" w:hint="eastAsia"/>
                <w:kern w:val="0"/>
                <w:szCs w:val="21"/>
              </w:rPr>
              <w:t>卸砂点</w:t>
            </w:r>
            <w:proofErr w:type="gramEnd"/>
            <w:r w:rsidRPr="00736D0D">
              <w:rPr>
                <w:rFonts w:ascii="宋体" w:hAnsi="宋体" w:cs="宋体" w:hint="eastAsia"/>
                <w:kern w:val="0"/>
                <w:szCs w:val="21"/>
              </w:rPr>
              <w:t>和有效期限等内容。省人民政府水行政主管部门应当统一建设电子信息管理平台，实现河砂合法来源证明信息互联互通。</w:t>
            </w:r>
          </w:p>
        </w:tc>
      </w:tr>
      <w:tr w:rsidR="00787B20" w:rsidRPr="00087239" w:rsidTr="00915A3F">
        <w:trPr>
          <w:trHeight w:val="1512"/>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787B20" w:rsidRPr="00736D0D" w:rsidRDefault="00787B20" w:rsidP="00915A3F">
            <w:pPr>
              <w:widowControl/>
              <w:jc w:val="center"/>
              <w:rPr>
                <w:rFonts w:ascii="宋体" w:hAnsi="宋体" w:cs="宋体"/>
                <w:color w:val="000000"/>
                <w:kern w:val="0"/>
                <w:szCs w:val="21"/>
              </w:rPr>
            </w:pPr>
            <w:r w:rsidRPr="00736D0D">
              <w:rPr>
                <w:rFonts w:ascii="宋体" w:hAnsi="宋体" w:cs="宋体" w:hint="eastAsia"/>
                <w:color w:val="000000"/>
                <w:kern w:val="0"/>
                <w:szCs w:val="21"/>
              </w:rPr>
              <w:t>14</w:t>
            </w:r>
          </w:p>
        </w:tc>
        <w:tc>
          <w:tcPr>
            <w:tcW w:w="4175"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9500" w:type="dxa"/>
            <w:tcBorders>
              <w:top w:val="nil"/>
              <w:left w:val="nil"/>
              <w:bottom w:val="single" w:sz="4" w:space="0" w:color="auto"/>
              <w:right w:val="single" w:sz="4" w:space="0" w:color="auto"/>
            </w:tcBorders>
            <w:shd w:val="clear" w:color="auto" w:fill="auto"/>
            <w:vAlign w:val="center"/>
            <w:hideMark/>
          </w:tcPr>
          <w:p w:rsidR="00787B20" w:rsidRPr="00736D0D" w:rsidRDefault="00787B20" w:rsidP="00915A3F">
            <w:pPr>
              <w:widowControl/>
              <w:jc w:val="left"/>
              <w:rPr>
                <w:rFonts w:ascii="宋体" w:hAnsi="宋体" w:cs="宋体"/>
                <w:kern w:val="0"/>
                <w:szCs w:val="21"/>
              </w:rPr>
            </w:pPr>
            <w:r w:rsidRPr="00736D0D">
              <w:rPr>
                <w:rFonts w:ascii="宋体" w:hAnsi="宋体" w:cs="宋体" w:hint="eastAsia"/>
                <w:kern w:val="0"/>
                <w:szCs w:val="21"/>
              </w:rPr>
              <w:t>《广东省河道采砂管理条例》2019年修正第二十八条运砂人在河道管理范围内运输河砂的应当服从有关部门的监督管理，并遵守下列规定：</w:t>
            </w:r>
            <w:r w:rsidRPr="00736D0D">
              <w:rPr>
                <w:rFonts w:ascii="宋体" w:hAnsi="宋体" w:cs="宋体" w:hint="eastAsia"/>
                <w:kern w:val="0"/>
                <w:szCs w:val="21"/>
              </w:rPr>
              <w:br/>
              <w:t xml:space="preserve">　　（一）持有的河砂合法来源证明应当在其载明的有效期限内单次使用，不得重复使用；</w:t>
            </w:r>
            <w:r w:rsidRPr="00736D0D">
              <w:rPr>
                <w:rFonts w:ascii="宋体" w:hAnsi="宋体" w:cs="宋体" w:hint="eastAsia"/>
                <w:kern w:val="0"/>
                <w:szCs w:val="21"/>
              </w:rPr>
              <w:br/>
              <w:t xml:space="preserve">　　（二）不得伪造、变造河砂合法来源证明，或者以买卖、出租、出借等方式非法转让河砂合法来源证明；</w:t>
            </w:r>
            <w:r w:rsidRPr="00736D0D">
              <w:rPr>
                <w:rFonts w:ascii="宋体" w:hAnsi="宋体" w:cs="宋体" w:hint="eastAsia"/>
                <w:kern w:val="0"/>
                <w:szCs w:val="21"/>
              </w:rPr>
              <w:br/>
            </w:r>
            <w:r w:rsidRPr="00736D0D">
              <w:rPr>
                <w:rFonts w:ascii="宋体" w:hAnsi="宋体" w:cs="宋体" w:hint="eastAsia"/>
                <w:kern w:val="0"/>
                <w:szCs w:val="21"/>
              </w:rPr>
              <w:lastRenderedPageBreak/>
              <w:t xml:space="preserve">　　（三）运载河砂数量应当符合河砂合法来源证明记载数量；</w:t>
            </w:r>
            <w:r w:rsidRPr="00736D0D">
              <w:rPr>
                <w:rFonts w:ascii="宋体" w:hAnsi="宋体" w:cs="宋体" w:hint="eastAsia"/>
                <w:kern w:val="0"/>
                <w:szCs w:val="21"/>
              </w:rPr>
              <w:br/>
              <w:t xml:space="preserve">　　（四）不得妨碍水上交通安全；</w:t>
            </w:r>
            <w:r w:rsidRPr="00736D0D">
              <w:rPr>
                <w:rFonts w:ascii="宋体" w:hAnsi="宋体" w:cs="宋体" w:hint="eastAsia"/>
                <w:kern w:val="0"/>
                <w:szCs w:val="21"/>
              </w:rPr>
              <w:br/>
              <w:t xml:space="preserve">　　（五）法律法规规定的其他事项。</w:t>
            </w:r>
          </w:p>
        </w:tc>
      </w:tr>
    </w:tbl>
    <w:p w:rsidR="00E33FE7" w:rsidRPr="00787B20" w:rsidRDefault="00E33FE7"/>
    <w:sectPr w:rsidR="00E33FE7" w:rsidRPr="00787B20" w:rsidSect="00787B2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7B20"/>
    <w:rsid w:val="000129F9"/>
    <w:rsid w:val="00027207"/>
    <w:rsid w:val="00037DFC"/>
    <w:rsid w:val="00054ACC"/>
    <w:rsid w:val="00063E57"/>
    <w:rsid w:val="000721F9"/>
    <w:rsid w:val="00073B67"/>
    <w:rsid w:val="000A455C"/>
    <w:rsid w:val="000B0D05"/>
    <w:rsid w:val="000E70D3"/>
    <w:rsid w:val="00131D51"/>
    <w:rsid w:val="0013491A"/>
    <w:rsid w:val="001A33F8"/>
    <w:rsid w:val="001E3606"/>
    <w:rsid w:val="0021468F"/>
    <w:rsid w:val="00240581"/>
    <w:rsid w:val="00297BDA"/>
    <w:rsid w:val="002B677D"/>
    <w:rsid w:val="002D3125"/>
    <w:rsid w:val="00300D00"/>
    <w:rsid w:val="00322414"/>
    <w:rsid w:val="003442E2"/>
    <w:rsid w:val="003E3B03"/>
    <w:rsid w:val="00406A19"/>
    <w:rsid w:val="00415710"/>
    <w:rsid w:val="0042743B"/>
    <w:rsid w:val="004639E7"/>
    <w:rsid w:val="0048178E"/>
    <w:rsid w:val="00490802"/>
    <w:rsid w:val="00493892"/>
    <w:rsid w:val="004A6761"/>
    <w:rsid w:val="004E44E4"/>
    <w:rsid w:val="004E53B8"/>
    <w:rsid w:val="004E6B8D"/>
    <w:rsid w:val="00500065"/>
    <w:rsid w:val="00513350"/>
    <w:rsid w:val="00525385"/>
    <w:rsid w:val="0054153F"/>
    <w:rsid w:val="005D30BF"/>
    <w:rsid w:val="005E37E5"/>
    <w:rsid w:val="0062205E"/>
    <w:rsid w:val="00625FD5"/>
    <w:rsid w:val="006270E0"/>
    <w:rsid w:val="00641191"/>
    <w:rsid w:val="0065669F"/>
    <w:rsid w:val="006638DC"/>
    <w:rsid w:val="0069734E"/>
    <w:rsid w:val="006B34FD"/>
    <w:rsid w:val="006D49B6"/>
    <w:rsid w:val="006F482C"/>
    <w:rsid w:val="006F651E"/>
    <w:rsid w:val="00713A04"/>
    <w:rsid w:val="00723646"/>
    <w:rsid w:val="00771D4B"/>
    <w:rsid w:val="00787B20"/>
    <w:rsid w:val="00804249"/>
    <w:rsid w:val="00821F17"/>
    <w:rsid w:val="00834441"/>
    <w:rsid w:val="00864BBD"/>
    <w:rsid w:val="00874243"/>
    <w:rsid w:val="00880B9B"/>
    <w:rsid w:val="008F51E2"/>
    <w:rsid w:val="00905E81"/>
    <w:rsid w:val="0091604C"/>
    <w:rsid w:val="009167C0"/>
    <w:rsid w:val="00926BE9"/>
    <w:rsid w:val="0097685E"/>
    <w:rsid w:val="00985887"/>
    <w:rsid w:val="009C140A"/>
    <w:rsid w:val="009E45DE"/>
    <w:rsid w:val="00A06773"/>
    <w:rsid w:val="00A20B12"/>
    <w:rsid w:val="00A229C0"/>
    <w:rsid w:val="00A33FDC"/>
    <w:rsid w:val="00A61694"/>
    <w:rsid w:val="00A95A8A"/>
    <w:rsid w:val="00AA57F5"/>
    <w:rsid w:val="00AD31C4"/>
    <w:rsid w:val="00AF51E3"/>
    <w:rsid w:val="00B134A1"/>
    <w:rsid w:val="00B457B7"/>
    <w:rsid w:val="00BE7DB3"/>
    <w:rsid w:val="00BF56F5"/>
    <w:rsid w:val="00C127E8"/>
    <w:rsid w:val="00C45925"/>
    <w:rsid w:val="00C87985"/>
    <w:rsid w:val="00CA0521"/>
    <w:rsid w:val="00CC59BD"/>
    <w:rsid w:val="00CF3454"/>
    <w:rsid w:val="00D12C4D"/>
    <w:rsid w:val="00D46C27"/>
    <w:rsid w:val="00DD027E"/>
    <w:rsid w:val="00DD5261"/>
    <w:rsid w:val="00DE2961"/>
    <w:rsid w:val="00E33FE7"/>
    <w:rsid w:val="00E50D16"/>
    <w:rsid w:val="00E67613"/>
    <w:rsid w:val="00ED69A6"/>
    <w:rsid w:val="00EE3BB0"/>
    <w:rsid w:val="00F13425"/>
    <w:rsid w:val="00F5298F"/>
    <w:rsid w:val="00F95150"/>
    <w:rsid w:val="00FB24E5"/>
    <w:rsid w:val="00FD7B1C"/>
    <w:rsid w:val="00FF4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&lt;%=userName%&gt;</dc:creator>
  <cp:lastModifiedBy>&lt;%=userName%&gt;</cp:lastModifiedBy>
  <cp:revision>1</cp:revision>
  <dcterms:created xsi:type="dcterms:W3CDTF">2020-06-23T04:07:00Z</dcterms:created>
  <dcterms:modified xsi:type="dcterms:W3CDTF">2020-06-23T04:07:00Z</dcterms:modified>
</cp:coreProperties>
</file>